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Az EU Alapjogi Chartája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Fogjunk össze jogaink megvédéséért!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Tudtad?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Az EU Alapjogi Chartájára mindig számíthatsz. </w:t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Tudj meg többet a Chartáról, és hogy mit tehetsz jogainak védelme érdekében: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https://right-here-right-now.campaign.europa.eu/index_hu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u-H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871F8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871F8"/>
    <w:rPr>
      <w:rFonts w:ascii="Tahoma" w:cs="Tahoma" w:hAnsi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4252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4252A8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4252A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252A8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252A8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83248D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WNllo/RDC3vHep/RiCoMzz6Ziw==">AMUW2mXMAkUfTHJEEcl9/P291ejvPSFttEpZshtOFsPGzoT4Y7+Bi5MTSVPkxb4Fj6oYIxmtJGsWl3mrhrCS75TslKow3syZrLSYndASsyoL4GOYLXXGP60=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2021-11-23T10:22:00Z</dcterms:created>
  <dc:creator>Fehér Péter</dc:creator>
</cp:coreProperties>
</file>